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AD3D">
      <w:pPr>
        <w:pStyle w:val="4"/>
        <w:tabs>
          <w:tab w:val="left" w:pos="7740"/>
        </w:tabs>
        <w:adjustRightInd w:val="0"/>
        <w:snapToGrid w:val="0"/>
        <w:spacing w:line="560" w:lineRule="exact"/>
        <w:ind w:firstLine="643" w:firstLineChars="200"/>
        <w:jc w:val="center"/>
        <w:rPr>
          <w:rFonts w:ascii="仿宋_GB2312" w:hAnsi="仿宋_GB2312" w:eastAsia="仿宋_GB2312" w:cs="仿宋_GB2312"/>
          <w:b/>
          <w:bCs/>
          <w:sz w:val="24"/>
          <w:szCs w:val="24"/>
          <w:highlight w:val="yellow"/>
        </w:rPr>
      </w:pPr>
      <w:r>
        <w:rPr>
          <w:rFonts w:hint="eastAsia" w:ascii="仿宋_GB2312" w:hAnsi="仿宋_GB2312" w:eastAsia="仿宋_GB2312" w:cs="仿宋_GB2312"/>
          <w:b/>
          <w:bCs/>
          <w:sz w:val="32"/>
          <w:szCs w:val="32"/>
          <w:lang w:eastAsia="zh-CN"/>
        </w:rPr>
        <w:t>珠海市第五人民医院配镜中心经营权</w:t>
      </w:r>
      <w:r>
        <w:rPr>
          <w:rFonts w:hint="eastAsia" w:ascii="仿宋_GB2312" w:hAnsi="仿宋_GB2312" w:eastAsia="仿宋_GB2312" w:cs="仿宋_GB2312"/>
          <w:b/>
          <w:bCs/>
          <w:sz w:val="32"/>
          <w:szCs w:val="32"/>
        </w:rPr>
        <w:t>用户需求书</w:t>
      </w:r>
    </w:p>
    <w:p w14:paraId="369DAEA3">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（一）项目概况</w:t>
      </w:r>
    </w:p>
    <w:p w14:paraId="76FA2FB4">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本项目</w:t>
      </w:r>
      <w:r>
        <w:rPr>
          <w:rFonts w:hint="eastAsia" w:ascii="仿宋_GB2312" w:hAnsi="仿宋_GB2312" w:eastAsia="仿宋_GB2312" w:cs="仿宋_GB2312"/>
          <w:sz w:val="24"/>
          <w:szCs w:val="24"/>
          <w:lang w:eastAsia="zh-CN"/>
        </w:rPr>
        <w:t>意向通过</w:t>
      </w:r>
      <w:r>
        <w:rPr>
          <w:rFonts w:hint="eastAsia" w:ascii="仿宋_GB2312" w:hAnsi="仿宋_GB2312" w:eastAsia="仿宋_GB2312" w:cs="仿宋_GB2312"/>
          <w:sz w:val="24"/>
          <w:szCs w:val="24"/>
        </w:rPr>
        <w:t>院内</w:t>
      </w:r>
      <w:r>
        <w:rPr>
          <w:rFonts w:hint="eastAsia" w:ascii="仿宋_GB2312" w:hAnsi="仿宋_GB2312" w:eastAsia="仿宋_GB2312" w:cs="仿宋_GB2312"/>
          <w:sz w:val="24"/>
          <w:szCs w:val="24"/>
          <w:lang w:eastAsia="zh-CN"/>
        </w:rPr>
        <w:t>简易招标</w:t>
      </w:r>
      <w:r>
        <w:rPr>
          <w:rFonts w:hint="eastAsia" w:ascii="仿宋_GB2312" w:hAnsi="仿宋_GB2312" w:eastAsia="仿宋_GB2312" w:cs="仿宋_GB2312"/>
          <w:sz w:val="24"/>
          <w:szCs w:val="24"/>
        </w:rPr>
        <w:t>形式，对配镜中心经营权进行采购，</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获得的经营权必须经营与医院眼科配套服务的配镜中心，不能用作他用。</w:t>
      </w:r>
    </w:p>
    <w:p w14:paraId="1D170A26">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（二）项目总体</w:t>
      </w:r>
      <w:r>
        <w:rPr>
          <w:rFonts w:hint="eastAsia" w:ascii="仿宋_GB2312" w:hAnsi="仿宋_GB2312" w:eastAsia="仿宋_GB2312" w:cs="仿宋_GB2312"/>
          <w:b/>
          <w:bCs/>
          <w:kern w:val="0"/>
          <w:sz w:val="24"/>
          <w:szCs w:val="24"/>
        </w:rPr>
        <w:t>要求：</w:t>
      </w:r>
    </w:p>
    <w:p w14:paraId="3BE0232D">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1.满足支持眼科学科发展需求。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工作人员需具有专业验光配镜资格，提供专业、严谨的符合国家标准医学验光配镜流程，协助采购人完成指令性任务、公益活动，积极配合推动眼视光工作。</w:t>
      </w:r>
    </w:p>
    <w:p w14:paraId="1EB87E3B">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2.协助采购人开展视力筛查建档工作，进行眼视力保健知识的科普宣传及全面普及。 </w:t>
      </w:r>
    </w:p>
    <w:p w14:paraId="4B957FB8">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3.合同期内如遇国家政策调整或与国家及上级规定相抵触而不能继续履约，应按国家相关规定执行，</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应无条件服从，经采购人、</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双方协商一致后做相应的调整或合约终止，因此造成的损失双方各自承担，不得向对方追究责任。</w:t>
      </w:r>
    </w:p>
    <w:p w14:paraId="4B660470">
      <w:pPr>
        <w:pStyle w:val="4"/>
        <w:tabs>
          <w:tab w:val="left" w:pos="7740"/>
        </w:tabs>
        <w:adjustRightInd w:val="0"/>
        <w:snapToGrid w:val="0"/>
        <w:spacing w:line="560" w:lineRule="exact"/>
        <w:ind w:firstLine="482" w:firstLineChars="200"/>
      </w:pPr>
      <w:r>
        <w:rPr>
          <w:rFonts w:hint="eastAsia" w:ascii="仿宋_GB2312" w:hAnsi="仿宋_GB2312" w:eastAsia="仿宋_GB2312" w:cs="仿宋_GB2312"/>
          <w:b/>
          <w:bCs/>
          <w:kern w:val="0"/>
          <w:sz w:val="24"/>
          <w:szCs w:val="24"/>
        </w:rPr>
        <w:t>（三）开展业务范围</w:t>
      </w:r>
    </w:p>
    <w:p w14:paraId="0E196AF8">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1.配镜业务：儿童光学眼镜、成人光学眼镜、老年人定制眼镜、特殊功能性眼镜、近视渐进光学眼镜、高端定制眼镜、高品质软性隐形眼镜、角膜塑形镜等</w:t>
      </w:r>
      <w:r>
        <w:rPr>
          <w:rFonts w:hint="eastAsia" w:ascii="仿宋_GB2312" w:hAnsi="仿宋_GB2312" w:eastAsia="仿宋_GB2312" w:cs="仿宋_GB2312"/>
          <w:kern w:val="0"/>
          <w:sz w:val="24"/>
          <w:szCs w:val="24"/>
          <w:lang w:eastAsia="zh-CN"/>
        </w:rPr>
        <w:t>。</w:t>
      </w:r>
    </w:p>
    <w:p w14:paraId="6FDEFC32">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2.视力普查：协助采购人为外单位进行视力</w:t>
      </w:r>
      <w:r>
        <w:rPr>
          <w:rFonts w:hint="eastAsia" w:ascii="仿宋_GB2312" w:hAnsi="仿宋_GB2312" w:eastAsia="仿宋_GB2312" w:cs="仿宋_GB2312"/>
          <w:kern w:val="0"/>
          <w:sz w:val="24"/>
          <w:szCs w:val="24"/>
          <w:lang w:eastAsia="zh-CN"/>
        </w:rPr>
        <w:t>筛</w:t>
      </w:r>
      <w:r>
        <w:rPr>
          <w:rFonts w:hint="eastAsia" w:ascii="仿宋_GB2312" w:hAnsi="仿宋_GB2312" w:eastAsia="仿宋_GB2312" w:cs="仿宋_GB2312"/>
          <w:kern w:val="0"/>
          <w:sz w:val="24"/>
          <w:szCs w:val="24"/>
        </w:rPr>
        <w:t>查</w:t>
      </w:r>
      <w:r>
        <w:rPr>
          <w:rFonts w:hint="eastAsia" w:ascii="仿宋_GB2312" w:hAnsi="仿宋_GB2312" w:eastAsia="仿宋_GB2312" w:cs="仿宋_GB2312"/>
          <w:kern w:val="0"/>
          <w:sz w:val="24"/>
          <w:szCs w:val="24"/>
          <w:lang w:eastAsia="zh-CN"/>
        </w:rPr>
        <w:t>、视力建档等工作。</w:t>
      </w:r>
    </w:p>
    <w:p w14:paraId="373A6AE6">
      <w:pPr>
        <w:pStyle w:val="4"/>
        <w:tabs>
          <w:tab w:val="left" w:pos="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3.儿童青少年近视防控、成年人视力视觉健康保健服务；规范统计及科学建档：建立长期视力健康档案，对有关数据进行医学科学整理、统计，为近视防控提供科学依据</w:t>
      </w:r>
      <w:r>
        <w:rPr>
          <w:rFonts w:hint="eastAsia" w:ascii="仿宋_GB2312" w:hAnsi="仿宋_GB2312" w:eastAsia="仿宋_GB2312" w:cs="仿宋_GB2312"/>
          <w:kern w:val="0"/>
          <w:sz w:val="24"/>
          <w:szCs w:val="24"/>
          <w:lang w:eastAsia="zh-CN"/>
        </w:rPr>
        <w:t>。</w:t>
      </w:r>
    </w:p>
    <w:p w14:paraId="287669AD">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4.角膜塑形镜验配:能提供多种型号品牌的产品、RGP、角膜塑形镜（OK镜)等。由采购人提供试戴工作室并协助完成角膜塑形镜业务的医疗操作、最终度数确定和检查等。</w:t>
      </w:r>
    </w:p>
    <w:p w14:paraId="6E4CBC74">
      <w:pPr>
        <w:pStyle w:val="4"/>
        <w:tabs>
          <w:tab w:val="left" w:pos="0"/>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5.弱视宣教指引业务:提供弱视科学知识普及指引服务等。</w:t>
      </w:r>
    </w:p>
    <w:p w14:paraId="42A0D4A9">
      <w:pPr>
        <w:pStyle w:val="4"/>
        <w:tabs>
          <w:tab w:val="left" w:pos="0"/>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6.科普宣传及健康教育：协助采购人开展各种形式的视力保健科普宣传和健康教育，包括发放各种眼科、视光学的视力保健文献、宣传册和刊物等；普及相关知识。</w:t>
      </w:r>
    </w:p>
    <w:p w14:paraId="7A4FD6FD">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7.配合采购人完成其他视光配镜及眼科发展所需的业务。</w:t>
      </w:r>
    </w:p>
    <w:p w14:paraId="277A7269">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（四）服务要求：</w:t>
      </w:r>
    </w:p>
    <w:p w14:paraId="3A3F04A2">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经营期间应遵守采购人的</w:t>
      </w:r>
      <w:r>
        <w:rPr>
          <w:rFonts w:hint="eastAsia" w:ascii="仿宋_GB2312" w:hAnsi="仿宋_GB2312" w:eastAsia="仿宋_GB2312" w:cs="仿宋_GB2312"/>
          <w:sz w:val="24"/>
          <w:szCs w:val="24"/>
        </w:rPr>
        <w:t>规章管理制度</w:t>
      </w:r>
      <w:r>
        <w:rPr>
          <w:rFonts w:hint="eastAsia" w:ascii="仿宋_GB2312" w:hAnsi="仿宋_GB2312" w:eastAsia="仿宋_GB2312" w:cs="仿宋_GB2312"/>
          <w:kern w:val="0"/>
          <w:sz w:val="24"/>
          <w:szCs w:val="24"/>
        </w:rPr>
        <w:t>，积极维护医院形象及消费者权益。</w:t>
      </w:r>
    </w:p>
    <w:p w14:paraId="48E59BBF">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2.配镜中心经营时间：原则上与采购人眼科门诊营业时间一致，包括但不限于每日8:00-12：00，14：30-17:30营业（</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须保证能够根据采购人业务需要动态调整营业时间）。</w:t>
      </w:r>
    </w:p>
    <w:p w14:paraId="573DC6E9">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3.响应时间：</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接到采购人服务通知</w:t>
      </w:r>
      <w:r>
        <w:rPr>
          <w:rFonts w:hint="eastAsia" w:ascii="仿宋_GB2312" w:hAnsi="仿宋_GB2312" w:eastAsia="仿宋_GB2312" w:cs="仿宋_GB2312"/>
          <w:b/>
          <w:bCs/>
          <w:kern w:val="0"/>
          <w:sz w:val="24"/>
          <w:szCs w:val="24"/>
          <w:u w:val="single"/>
          <w:lang w:val="en-US" w:eastAsia="zh-CN"/>
        </w:rPr>
        <w:t xml:space="preserve"> 5 </w:t>
      </w:r>
      <w:r>
        <w:rPr>
          <w:rFonts w:hint="eastAsia" w:ascii="仿宋_GB2312" w:hAnsi="仿宋_GB2312" w:eastAsia="仿宋_GB2312" w:cs="仿宋_GB2312"/>
          <w:kern w:val="0"/>
          <w:sz w:val="24"/>
          <w:szCs w:val="24"/>
        </w:rPr>
        <w:t>分钟内响应，且在</w:t>
      </w:r>
      <w:r>
        <w:rPr>
          <w:rFonts w:hint="eastAsia" w:ascii="仿宋_GB2312" w:hAnsi="仿宋_GB2312" w:eastAsia="仿宋_GB2312" w:cs="仿宋_GB2312"/>
          <w:b/>
          <w:bCs/>
          <w:kern w:val="0"/>
          <w:sz w:val="24"/>
          <w:szCs w:val="24"/>
          <w:u w:val="single"/>
          <w:lang w:val="en-US" w:eastAsia="zh-CN"/>
        </w:rPr>
        <w:t xml:space="preserve"> 1 </w:t>
      </w:r>
      <w:r>
        <w:rPr>
          <w:rFonts w:hint="eastAsia" w:ascii="仿宋_GB2312" w:hAnsi="仿宋_GB2312" w:eastAsia="仿宋_GB2312" w:cs="仿宋_GB2312"/>
          <w:kern w:val="0"/>
          <w:sz w:val="24"/>
          <w:szCs w:val="24"/>
        </w:rPr>
        <w:t>小时内（含本数）解决问题或提供解决方案。如采购人有现场服务需求，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应安排充足人员在1小时内到达采购人现场。</w:t>
      </w:r>
    </w:p>
    <w:p w14:paraId="75E01F45">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提供的产品材料必须是合格产品，具备国家认可的相应资质许可证明，并符合国家质量标准。</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对所销售产品的质量保证，按照“三包法”进行售后服务。</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的产品和服务接受采购人监督，因产品质量或服务等原因与患者发生纠纷或医疗事故或行政处罚的责任和费用均由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承担，与采购人无关，由此引起第三方向采购人追责造成采购人经济损失的，采购人有权向</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追索。</w:t>
      </w:r>
    </w:p>
    <w:p w14:paraId="18DCFE62">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的经营场所应设有独立标识，工作人员服装应与采购人职工服装进行区分。</w:t>
      </w:r>
    </w:p>
    <w:p w14:paraId="6B9C480F">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6.项目服务与技术支持的具体内容：</w:t>
      </w:r>
    </w:p>
    <w:p w14:paraId="5CD827EB">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（1）科普宣传及健康教育：协助采购人开展各种形式的视力保健科普宣传和健康教育，包括发放各种眼科、视光学的视力保健文献、宣传册和刊物等；普及相关知识</w:t>
      </w:r>
      <w:r>
        <w:rPr>
          <w:rFonts w:hint="eastAsia" w:ascii="仿宋_GB2312" w:hAnsi="仿宋_GB2312" w:eastAsia="仿宋_GB2312" w:cs="仿宋_GB2312"/>
          <w:kern w:val="0"/>
          <w:sz w:val="24"/>
          <w:lang w:eastAsia="zh-CN"/>
        </w:rPr>
        <w:t>；</w:t>
      </w:r>
    </w:p>
    <w:p w14:paraId="2167B01E">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（2）视力普查：协助采购人为外单位进行视力检查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szCs w:val="24"/>
          <w:lang w:eastAsia="zh-CN"/>
        </w:rPr>
        <w:t>视力建档等工作</w:t>
      </w:r>
      <w:r>
        <w:rPr>
          <w:rFonts w:hint="eastAsia" w:ascii="仿宋_GB2312" w:hAnsi="仿宋_GB2312" w:eastAsia="仿宋_GB2312" w:cs="仿宋_GB2312"/>
          <w:kern w:val="0"/>
          <w:sz w:val="24"/>
          <w:lang w:eastAsia="zh-CN"/>
        </w:rPr>
        <w:t>；</w:t>
      </w:r>
    </w:p>
    <w:p w14:paraId="03D2A179">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（3）规范统计及科学建档：协助采购人开展视力筛查建档工作，对有关数据进行医学科学整理、统计，为近视防控提供科学依据</w:t>
      </w:r>
      <w:r>
        <w:rPr>
          <w:rFonts w:hint="eastAsia" w:ascii="仿宋_GB2312" w:hAnsi="仿宋_GB2312" w:eastAsia="仿宋_GB2312" w:cs="仿宋_GB2312"/>
          <w:kern w:val="0"/>
          <w:sz w:val="24"/>
          <w:lang w:eastAsia="zh-CN"/>
        </w:rPr>
        <w:t>；</w:t>
      </w:r>
    </w:p>
    <w:p w14:paraId="7DA78058">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（4）跟踪服务及科学干预：做好客户跟踪服务工作；为每位服务对象建立眼科健康档案，进行远期监控，及时准确的了解视力变化情况，给予必要的提醒和指导</w:t>
      </w:r>
      <w:r>
        <w:rPr>
          <w:rFonts w:hint="eastAsia" w:ascii="仿宋_GB2312" w:hAnsi="仿宋_GB2312" w:eastAsia="仿宋_GB2312" w:cs="仿宋_GB2312"/>
          <w:kern w:val="0"/>
          <w:sz w:val="24"/>
          <w:lang w:eastAsia="zh-CN"/>
        </w:rPr>
        <w:t>；</w:t>
      </w:r>
    </w:p>
    <w:p w14:paraId="017B1AE7">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（5）儿童青少年视力和视觉的综合检查（视力、视觉、视功能、发育情况、视环境）；</w:t>
      </w:r>
    </w:p>
    <w:p w14:paraId="6C20DD08">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（6）提供医学性、专业性、严谨性的国际标准医学验光配镜流程；</w:t>
      </w:r>
    </w:p>
    <w:p w14:paraId="2B872B55">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（7）协助医院开展珠海市中小学生视力筛查建档、科普宣教公益</w:t>
      </w:r>
      <w:r>
        <w:rPr>
          <w:rFonts w:hint="eastAsia" w:ascii="仿宋_GB2312" w:hAnsi="仿宋_GB2312" w:eastAsia="仿宋_GB2312" w:cs="仿宋_GB2312"/>
          <w:kern w:val="0"/>
          <w:sz w:val="24"/>
          <w:szCs w:val="24"/>
          <w:lang w:eastAsia="zh-CN"/>
        </w:rPr>
        <w:t>工作</w:t>
      </w:r>
      <w:r>
        <w:rPr>
          <w:rFonts w:hint="eastAsia" w:ascii="仿宋_GB2312" w:hAnsi="仿宋_GB2312" w:eastAsia="仿宋_GB2312" w:cs="仿宋_GB2312"/>
          <w:kern w:val="0"/>
          <w:sz w:val="24"/>
          <w:szCs w:val="24"/>
        </w:rPr>
        <w:t>,由此产生的交通费、餐饮住宿费、仪器设备费用、劳务费用等，均由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w:t>
      </w:r>
    </w:p>
    <w:p w14:paraId="78FA52C6">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经营项目应符合医院院感、医院等级评审等对医院的标准要求（包括但不限于设备达到高水平消毒效果、经营场所卫生标准、人员手卫生、所产生垃圾按医院相关要求分类处理等）,并配合医院的各项检查。对于医院提出的整改意见，受中标方应积极听取并采取有效措施及时整改。</w:t>
      </w:r>
    </w:p>
    <w:p w14:paraId="3D869B10">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配镜交付时间：常规眼镜片（现片）交付时间为3天；定制眼镜片交付时间为7天左右，可提供邮到家服务。现场取镜、试戴或邮寄到家的患者，如有需要调整的现场解决；给患者宣教配戴方式，以及清洗保养方法。</w:t>
      </w:r>
      <w:bookmarkStart w:id="0" w:name="_GoBack"/>
      <w:bookmarkEnd w:id="0"/>
    </w:p>
    <w:p w14:paraId="4C36ADA8">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（五）人员要求</w:t>
      </w:r>
    </w:p>
    <w:p w14:paraId="7F6871C2">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负责组建开展配镜业务所需的运营团队，运营团队应配备驻场人员不少于</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人，所有人员应具备丰富的相关业务经验，具备相应岗位所需的有效证件资质</w:t>
      </w:r>
      <w:r>
        <w:rPr>
          <w:rFonts w:hint="eastAsia" w:ascii="仿宋_GB2312" w:hAnsi="仿宋_GB2312" w:eastAsia="仿宋_GB2312" w:cs="仿宋_GB2312"/>
          <w:kern w:val="0"/>
          <w:sz w:val="24"/>
          <w:szCs w:val="24"/>
          <w:lang w:eastAsia="zh-CN"/>
        </w:rPr>
        <w:t>（包括但不限于具备初级验光师等级以上</w:t>
      </w:r>
      <w:r>
        <w:rPr>
          <w:rFonts w:hint="eastAsia" w:ascii="仿宋_GB2312" w:hAnsi="仿宋_GB2312" w:eastAsia="仿宋_GB2312" w:cs="仿宋_GB2312"/>
          <w:kern w:val="0"/>
          <w:sz w:val="24"/>
          <w:szCs w:val="24"/>
        </w:rPr>
        <w:t>从业资格证书</w:t>
      </w:r>
      <w:r>
        <w:rPr>
          <w:rFonts w:hint="eastAsia" w:ascii="仿宋_GB2312" w:hAnsi="仿宋_GB2312" w:eastAsia="仿宋_GB2312" w:cs="仿宋_GB2312"/>
          <w:kern w:val="0"/>
          <w:sz w:val="24"/>
          <w:szCs w:val="24"/>
          <w:lang w:eastAsia="zh-CN"/>
        </w:rPr>
        <w:t>、角膜塑形镜验配资质等），</w:t>
      </w:r>
      <w:r>
        <w:rPr>
          <w:rFonts w:hint="eastAsia" w:ascii="仿宋_GB2312" w:hAnsi="仿宋_GB2312" w:eastAsia="仿宋_GB2312" w:cs="仿宋_GB2312"/>
          <w:kern w:val="0"/>
          <w:sz w:val="24"/>
          <w:szCs w:val="24"/>
        </w:rPr>
        <w:t>符合相关政府部门的有关要求。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应设一名项目运营经理，专门负责与采购人对接项目管理相关事宜。</w:t>
      </w:r>
    </w:p>
    <w:p w14:paraId="4AD41298">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负责办理员工的劳动用工手续、劳动及工伤保险、入职体检等事宜。</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必须为其所有员工提供政府及《中华人民共和国劳动法》、《中华人民共和国劳动合同法》等相关法律规定的社会保险及特殊补贴等，保证所有员工工资不低于珠海市的最低工资标准；同时必须提供基本的劳动保护和必要的休息。</w:t>
      </w:r>
    </w:p>
    <w:p w14:paraId="0D4B6407">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3.合同签署后，</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应在3个工作日内提供项目运营人员名单报采购人备案，备案资料包括但不限于项目运营人员姓名、手机号码、相应岗位所需有效的从业资格证书复印件等相关信息（所有资料加盖</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公章）。因</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原因需更换本项目运营人员，应提前五个工作日通知采购人总务</w:t>
      </w:r>
      <w:r>
        <w:rPr>
          <w:rFonts w:hint="eastAsia" w:ascii="仿宋_GB2312" w:hAnsi="仿宋_GB2312" w:eastAsia="仿宋_GB2312" w:cs="仿宋_GB2312"/>
          <w:kern w:val="0"/>
          <w:sz w:val="24"/>
          <w:szCs w:val="24"/>
          <w:lang w:eastAsia="zh-CN"/>
        </w:rPr>
        <w:t>科</w:t>
      </w:r>
      <w:r>
        <w:rPr>
          <w:rFonts w:hint="eastAsia" w:ascii="仿宋_GB2312" w:hAnsi="仿宋_GB2312" w:eastAsia="仿宋_GB2312" w:cs="仿宋_GB2312"/>
          <w:kern w:val="0"/>
          <w:sz w:val="24"/>
          <w:szCs w:val="24"/>
        </w:rPr>
        <w:t>，取得采购人同意后更换并补充更换后人员的相关资料。</w:t>
      </w:r>
    </w:p>
    <w:p w14:paraId="37C66630">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员工在采购人单位工作期间，必须遵守国家法律和医院的规章制度，切实履行相关的工作制度和职责。采购人有权对运营人员的工作进行指导、检查、监督，并要求调换不合适的运营人员。</w:t>
      </w:r>
    </w:p>
    <w:p w14:paraId="28DE4EDE">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负责定期对运营团队人员提供相应的技术培训。</w:t>
      </w:r>
    </w:p>
    <w:p w14:paraId="529DE75B">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6.验光员负责为顾客提供视光方面的视功能检查、回访售后等服务。</w:t>
      </w:r>
    </w:p>
    <w:p w14:paraId="3F3411B8">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负责其员工的人身安全。经营期间，如发生工伤或意外，由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负责，与采购人无关。经营期间，如因</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（或其员工）的原因导致</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、采购人、第三方的人员或者财产损伤的均由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自行负责，由此引起第三方向采购人追责造成采购人经济损失的，采购人有权向</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追索。</w:t>
      </w:r>
    </w:p>
    <w:p w14:paraId="1B7F55BA">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（六）投入设备要求：</w:t>
      </w:r>
    </w:p>
    <w:p w14:paraId="536405C2">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负责提供物理矫正及眼镜验光、装配加工等所需的相关仪器设备（详情请见附件《配镜中心视光设备清单》），清单内设备由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负责提供并自行负责所有设备的维护、维修及保养，产生的一切费用由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w:t>
      </w:r>
    </w:p>
    <w:tbl>
      <w:tblPr>
        <w:tblStyle w:val="5"/>
        <w:tblpPr w:leftFromText="180" w:rightFromText="180" w:vertAnchor="text" w:horzAnchor="page" w:tblpX="1300" w:tblpY="41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03"/>
        <w:gridCol w:w="711"/>
        <w:gridCol w:w="705"/>
        <w:gridCol w:w="3060"/>
        <w:gridCol w:w="1194"/>
        <w:gridCol w:w="1513"/>
      </w:tblGrid>
      <w:tr w14:paraId="7962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25" w:type="dxa"/>
            <w:gridSpan w:val="7"/>
            <w:shd w:val="clear" w:color="auto" w:fill="auto"/>
            <w:noWrap/>
            <w:vAlign w:val="center"/>
          </w:tcPr>
          <w:p w14:paraId="2793A914">
            <w:pPr>
              <w:widowControl/>
              <w:spacing w:line="560" w:lineRule="exact"/>
              <w:ind w:firstLine="480" w:firstLineChars="20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配镜中心视光设备清单</w:t>
            </w:r>
          </w:p>
        </w:tc>
      </w:tr>
      <w:tr w14:paraId="298A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9" w:type="dxa"/>
            <w:shd w:val="clear" w:color="auto" w:fill="auto"/>
            <w:vAlign w:val="center"/>
          </w:tcPr>
          <w:p w14:paraId="760C2CF1">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序号</w:t>
            </w:r>
          </w:p>
        </w:tc>
        <w:tc>
          <w:tcPr>
            <w:tcW w:w="1903" w:type="dxa"/>
            <w:shd w:val="clear" w:color="auto" w:fill="auto"/>
            <w:vAlign w:val="center"/>
          </w:tcPr>
          <w:p w14:paraId="6AC179C0">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种类</w:t>
            </w:r>
          </w:p>
        </w:tc>
        <w:tc>
          <w:tcPr>
            <w:tcW w:w="711" w:type="dxa"/>
            <w:shd w:val="clear" w:color="auto" w:fill="auto"/>
            <w:vAlign w:val="center"/>
          </w:tcPr>
          <w:p w14:paraId="3931AD82">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单位</w:t>
            </w:r>
          </w:p>
        </w:tc>
        <w:tc>
          <w:tcPr>
            <w:tcW w:w="705" w:type="dxa"/>
            <w:shd w:val="clear" w:color="auto" w:fill="auto"/>
            <w:vAlign w:val="center"/>
          </w:tcPr>
          <w:p w14:paraId="0A797DD9">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数量</w:t>
            </w:r>
          </w:p>
        </w:tc>
        <w:tc>
          <w:tcPr>
            <w:tcW w:w="3060" w:type="dxa"/>
            <w:shd w:val="clear" w:color="auto" w:fill="auto"/>
            <w:vAlign w:val="center"/>
          </w:tcPr>
          <w:p w14:paraId="6B0E7F58">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用途</w:t>
            </w:r>
          </w:p>
        </w:tc>
        <w:tc>
          <w:tcPr>
            <w:tcW w:w="1194" w:type="dxa"/>
            <w:shd w:val="clear" w:color="auto" w:fill="auto"/>
            <w:vAlign w:val="center"/>
          </w:tcPr>
          <w:p w14:paraId="08B6F9DE">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检查项目</w:t>
            </w:r>
          </w:p>
        </w:tc>
        <w:tc>
          <w:tcPr>
            <w:tcW w:w="1513" w:type="dxa"/>
            <w:shd w:val="clear" w:color="auto" w:fill="auto"/>
            <w:vAlign w:val="center"/>
          </w:tcPr>
          <w:p w14:paraId="706FCD76">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备注</w:t>
            </w:r>
          </w:p>
        </w:tc>
      </w:tr>
      <w:tr w14:paraId="5B2D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9" w:type="dxa"/>
            <w:shd w:val="clear" w:color="auto" w:fill="auto"/>
            <w:vAlign w:val="center"/>
          </w:tcPr>
          <w:p w14:paraId="5301C0F3">
            <w:pPr>
              <w:widowControl/>
              <w:jc w:val="center"/>
            </w:pPr>
            <w:r>
              <w:rPr>
                <w:lang w:bidi="ar"/>
              </w:rPr>
              <w:t>1</w:t>
            </w:r>
          </w:p>
        </w:tc>
        <w:tc>
          <w:tcPr>
            <w:tcW w:w="1903" w:type="dxa"/>
            <w:shd w:val="clear" w:color="auto" w:fill="auto"/>
            <w:vAlign w:val="center"/>
          </w:tcPr>
          <w:p w14:paraId="62BB9F6C">
            <w:pPr>
              <w:widowControl/>
              <w:jc w:val="center"/>
            </w:pPr>
            <w:r>
              <w:rPr>
                <w:lang w:bidi="ar"/>
              </w:rPr>
              <w:t>电脑验光曲率仪</w:t>
            </w:r>
          </w:p>
        </w:tc>
        <w:tc>
          <w:tcPr>
            <w:tcW w:w="711" w:type="dxa"/>
            <w:shd w:val="clear" w:color="auto" w:fill="auto"/>
            <w:vAlign w:val="center"/>
          </w:tcPr>
          <w:p w14:paraId="05CCE1B0">
            <w:pPr>
              <w:widowControl/>
              <w:jc w:val="center"/>
            </w:pPr>
            <w:r>
              <w:rPr>
                <w:lang w:bidi="ar"/>
              </w:rPr>
              <w:t>台</w:t>
            </w:r>
          </w:p>
        </w:tc>
        <w:tc>
          <w:tcPr>
            <w:tcW w:w="705" w:type="dxa"/>
            <w:shd w:val="clear" w:color="auto" w:fill="auto"/>
            <w:vAlign w:val="center"/>
          </w:tcPr>
          <w:p w14:paraId="4BACCAB0">
            <w:pPr>
              <w:widowControl/>
              <w:jc w:val="center"/>
            </w:pPr>
            <w:r>
              <w:rPr>
                <w:lang w:bidi="ar"/>
              </w:rPr>
              <w:t>1</w:t>
            </w:r>
          </w:p>
        </w:tc>
        <w:tc>
          <w:tcPr>
            <w:tcW w:w="3060" w:type="dxa"/>
            <w:shd w:val="clear" w:color="auto" w:fill="auto"/>
            <w:vAlign w:val="center"/>
          </w:tcPr>
          <w:p w14:paraId="044BFCAC">
            <w:pPr>
              <w:widowControl/>
              <w:jc w:val="left"/>
            </w:pPr>
            <w:r>
              <w:t>全自动验光加角膜曲率，双环大瞳孔区域成像法；三维自动追踪测量。</w:t>
            </w:r>
          </w:p>
        </w:tc>
        <w:tc>
          <w:tcPr>
            <w:tcW w:w="1194" w:type="dxa"/>
            <w:shd w:val="clear" w:color="auto" w:fill="auto"/>
            <w:vAlign w:val="center"/>
          </w:tcPr>
          <w:p w14:paraId="750E61E6">
            <w:pPr>
              <w:widowControl/>
              <w:jc w:val="center"/>
            </w:pPr>
            <w:r>
              <w:rPr>
                <w:lang w:bidi="ar"/>
              </w:rPr>
              <w:t>验光</w:t>
            </w:r>
          </w:p>
        </w:tc>
        <w:tc>
          <w:tcPr>
            <w:tcW w:w="1513" w:type="dxa"/>
            <w:shd w:val="clear" w:color="auto" w:fill="auto"/>
            <w:vAlign w:val="center"/>
          </w:tcPr>
          <w:p w14:paraId="7A3CAF03">
            <w:pPr>
              <w:widowControl/>
              <w:jc w:val="center"/>
            </w:pPr>
          </w:p>
        </w:tc>
      </w:tr>
      <w:tr w14:paraId="66EA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14:paraId="4EFE2D95">
            <w:pPr>
              <w:widowControl/>
              <w:jc w:val="center"/>
              <w:rPr>
                <w:lang w:bidi="ar"/>
              </w:rPr>
            </w:pPr>
            <w:r>
              <w:rPr>
                <w:lang w:bidi="ar"/>
              </w:rPr>
              <w:t>2</w:t>
            </w:r>
          </w:p>
        </w:tc>
        <w:tc>
          <w:tcPr>
            <w:tcW w:w="1903" w:type="dxa"/>
            <w:shd w:val="clear" w:color="auto" w:fill="auto"/>
            <w:vAlign w:val="center"/>
          </w:tcPr>
          <w:p w14:paraId="4C7AD527">
            <w:pPr>
              <w:widowControl/>
              <w:jc w:val="center"/>
              <w:rPr>
                <w:lang w:bidi="ar"/>
              </w:rPr>
            </w:pPr>
            <w:r>
              <w:rPr>
                <w:lang w:bidi="ar"/>
              </w:rPr>
              <w:t>非接触眼压计</w:t>
            </w:r>
          </w:p>
        </w:tc>
        <w:tc>
          <w:tcPr>
            <w:tcW w:w="711" w:type="dxa"/>
            <w:shd w:val="clear" w:color="auto" w:fill="auto"/>
            <w:vAlign w:val="center"/>
          </w:tcPr>
          <w:p w14:paraId="32E44FFC">
            <w:pPr>
              <w:widowControl/>
              <w:jc w:val="center"/>
            </w:pPr>
            <w:r>
              <w:rPr>
                <w:lang w:bidi="ar"/>
              </w:rPr>
              <w:t>台</w:t>
            </w:r>
          </w:p>
        </w:tc>
        <w:tc>
          <w:tcPr>
            <w:tcW w:w="705" w:type="dxa"/>
            <w:shd w:val="clear" w:color="auto" w:fill="auto"/>
            <w:vAlign w:val="center"/>
          </w:tcPr>
          <w:p w14:paraId="026151ED">
            <w:pPr>
              <w:widowControl/>
              <w:jc w:val="center"/>
            </w:pPr>
            <w:r>
              <w:rPr>
                <w:lang w:bidi="ar"/>
              </w:rPr>
              <w:t>1</w:t>
            </w:r>
          </w:p>
        </w:tc>
        <w:tc>
          <w:tcPr>
            <w:tcW w:w="3060" w:type="dxa"/>
            <w:shd w:val="clear" w:color="auto" w:fill="auto"/>
            <w:vAlign w:val="center"/>
          </w:tcPr>
          <w:p w14:paraId="4AF8B433">
            <w:pPr>
              <w:widowControl/>
              <w:jc w:val="center"/>
            </w:pPr>
            <w:r>
              <w:t>2维自动追踪、自动测量</w:t>
            </w:r>
          </w:p>
        </w:tc>
        <w:tc>
          <w:tcPr>
            <w:tcW w:w="1194" w:type="dxa"/>
            <w:shd w:val="clear" w:color="auto" w:fill="auto"/>
            <w:vAlign w:val="center"/>
          </w:tcPr>
          <w:p w14:paraId="25B7D1B9">
            <w:pPr>
              <w:widowControl/>
              <w:jc w:val="center"/>
              <w:rPr>
                <w:lang w:bidi="ar"/>
              </w:rPr>
            </w:pPr>
            <w:r>
              <w:rPr>
                <w:lang w:bidi="ar"/>
              </w:rPr>
              <w:t>测眼压</w:t>
            </w:r>
          </w:p>
        </w:tc>
        <w:tc>
          <w:tcPr>
            <w:tcW w:w="1513" w:type="dxa"/>
            <w:shd w:val="clear" w:color="auto" w:fill="auto"/>
            <w:vAlign w:val="center"/>
          </w:tcPr>
          <w:p w14:paraId="2E6D005B">
            <w:pPr>
              <w:widowControl/>
              <w:jc w:val="center"/>
              <w:rPr>
                <w:lang w:bidi="ar"/>
              </w:rPr>
            </w:pPr>
          </w:p>
        </w:tc>
      </w:tr>
      <w:tr w14:paraId="2892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14:paraId="0A577C0C">
            <w:pPr>
              <w:widowControl/>
              <w:jc w:val="center"/>
              <w:rPr>
                <w:lang w:bidi="ar"/>
              </w:rPr>
            </w:pPr>
            <w:r>
              <w:rPr>
                <w:rFonts w:hint="eastAsia"/>
                <w:lang w:bidi="ar"/>
              </w:rPr>
              <w:t>3</w:t>
            </w:r>
          </w:p>
        </w:tc>
        <w:tc>
          <w:tcPr>
            <w:tcW w:w="1903" w:type="dxa"/>
            <w:shd w:val="clear" w:color="auto" w:fill="auto"/>
            <w:vAlign w:val="center"/>
          </w:tcPr>
          <w:p w14:paraId="0D2D286A">
            <w:pPr>
              <w:widowControl/>
              <w:jc w:val="center"/>
            </w:pPr>
            <w:r>
              <w:rPr>
                <w:lang w:bidi="ar"/>
              </w:rPr>
              <w:t>综合验光仪</w:t>
            </w:r>
          </w:p>
        </w:tc>
        <w:tc>
          <w:tcPr>
            <w:tcW w:w="711" w:type="dxa"/>
            <w:shd w:val="clear" w:color="auto" w:fill="auto"/>
            <w:vAlign w:val="center"/>
          </w:tcPr>
          <w:p w14:paraId="6F9EF868">
            <w:pPr>
              <w:widowControl/>
              <w:jc w:val="center"/>
            </w:pPr>
            <w:r>
              <w:rPr>
                <w:lang w:bidi="ar"/>
              </w:rPr>
              <w:t>台</w:t>
            </w:r>
          </w:p>
        </w:tc>
        <w:tc>
          <w:tcPr>
            <w:tcW w:w="705" w:type="dxa"/>
            <w:shd w:val="clear" w:color="auto" w:fill="auto"/>
            <w:vAlign w:val="center"/>
          </w:tcPr>
          <w:p w14:paraId="61100793">
            <w:pPr>
              <w:widowControl/>
              <w:jc w:val="center"/>
            </w:pPr>
            <w:r>
              <w:rPr>
                <w:lang w:bidi="ar"/>
              </w:rPr>
              <w:t>1</w:t>
            </w:r>
          </w:p>
        </w:tc>
        <w:tc>
          <w:tcPr>
            <w:tcW w:w="3060" w:type="dxa"/>
            <w:shd w:val="clear" w:color="auto" w:fill="auto"/>
            <w:vAlign w:val="center"/>
          </w:tcPr>
          <w:p w14:paraId="2A0D3E79">
            <w:pPr>
              <w:widowControl/>
              <w:jc w:val="center"/>
            </w:pPr>
            <w:r>
              <w:rPr>
                <w:lang w:bidi="ar"/>
              </w:rPr>
              <w:t>用于日常主观验光</w:t>
            </w:r>
          </w:p>
        </w:tc>
        <w:tc>
          <w:tcPr>
            <w:tcW w:w="1194" w:type="dxa"/>
            <w:shd w:val="clear" w:color="auto" w:fill="auto"/>
            <w:vAlign w:val="center"/>
          </w:tcPr>
          <w:p w14:paraId="5D08567B">
            <w:pPr>
              <w:widowControl/>
              <w:jc w:val="center"/>
            </w:pPr>
            <w:r>
              <w:rPr>
                <w:lang w:bidi="ar"/>
              </w:rPr>
              <w:t>验光</w:t>
            </w:r>
          </w:p>
        </w:tc>
        <w:tc>
          <w:tcPr>
            <w:tcW w:w="1513" w:type="dxa"/>
            <w:shd w:val="clear" w:color="auto" w:fill="auto"/>
            <w:vAlign w:val="center"/>
          </w:tcPr>
          <w:p w14:paraId="31609269">
            <w:pPr>
              <w:widowControl/>
              <w:jc w:val="center"/>
              <w:rPr>
                <w:lang w:bidi="ar"/>
              </w:rPr>
            </w:pPr>
          </w:p>
        </w:tc>
      </w:tr>
      <w:tr w14:paraId="4511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14:paraId="694AD3F8">
            <w:pPr>
              <w:widowControl/>
              <w:jc w:val="center"/>
              <w:rPr>
                <w:lang w:bidi="ar"/>
              </w:rPr>
            </w:pPr>
            <w:r>
              <w:rPr>
                <w:rFonts w:hint="eastAsia"/>
                <w:lang w:bidi="ar"/>
              </w:rPr>
              <w:t>4</w:t>
            </w:r>
          </w:p>
        </w:tc>
        <w:tc>
          <w:tcPr>
            <w:tcW w:w="1903" w:type="dxa"/>
            <w:shd w:val="clear" w:color="auto" w:fill="auto"/>
            <w:vAlign w:val="center"/>
          </w:tcPr>
          <w:p w14:paraId="181C6FED">
            <w:pPr>
              <w:widowControl/>
              <w:jc w:val="center"/>
            </w:pPr>
            <w:r>
              <w:rPr>
                <w:lang w:bidi="ar"/>
              </w:rPr>
              <w:t>角膜地形图</w:t>
            </w:r>
          </w:p>
        </w:tc>
        <w:tc>
          <w:tcPr>
            <w:tcW w:w="711" w:type="dxa"/>
            <w:shd w:val="clear" w:color="auto" w:fill="auto"/>
            <w:vAlign w:val="center"/>
          </w:tcPr>
          <w:p w14:paraId="2875E658">
            <w:pPr>
              <w:widowControl/>
              <w:jc w:val="center"/>
            </w:pPr>
            <w:r>
              <w:rPr>
                <w:lang w:bidi="ar"/>
              </w:rPr>
              <w:t>台</w:t>
            </w:r>
          </w:p>
        </w:tc>
        <w:tc>
          <w:tcPr>
            <w:tcW w:w="705" w:type="dxa"/>
            <w:shd w:val="clear" w:color="auto" w:fill="auto"/>
            <w:vAlign w:val="center"/>
          </w:tcPr>
          <w:p w14:paraId="2E86895A">
            <w:pPr>
              <w:widowControl/>
              <w:jc w:val="center"/>
            </w:pPr>
            <w:r>
              <w:rPr>
                <w:lang w:bidi="ar"/>
              </w:rPr>
              <w:t>1</w:t>
            </w:r>
          </w:p>
        </w:tc>
        <w:tc>
          <w:tcPr>
            <w:tcW w:w="3060" w:type="dxa"/>
            <w:shd w:val="clear" w:color="auto" w:fill="auto"/>
            <w:vAlign w:val="center"/>
          </w:tcPr>
          <w:p w14:paraId="455B692D">
            <w:pPr>
              <w:widowControl/>
              <w:jc w:val="left"/>
            </w:pPr>
            <w:r>
              <w:t>角膜塑形镜验配金标准</w:t>
            </w:r>
          </w:p>
        </w:tc>
        <w:tc>
          <w:tcPr>
            <w:tcW w:w="1194" w:type="dxa"/>
            <w:shd w:val="clear" w:color="auto" w:fill="auto"/>
            <w:vAlign w:val="center"/>
          </w:tcPr>
          <w:p w14:paraId="18E46B8D">
            <w:pPr>
              <w:widowControl/>
              <w:jc w:val="center"/>
            </w:pPr>
            <w:r>
              <w:rPr>
                <w:lang w:bidi="ar"/>
              </w:rPr>
              <w:t>查看角膜形状</w:t>
            </w:r>
          </w:p>
        </w:tc>
        <w:tc>
          <w:tcPr>
            <w:tcW w:w="1513" w:type="dxa"/>
            <w:shd w:val="clear" w:color="auto" w:fill="auto"/>
            <w:vAlign w:val="center"/>
          </w:tcPr>
          <w:p w14:paraId="6D23C9B4">
            <w:pPr>
              <w:widowControl/>
              <w:jc w:val="center"/>
              <w:rPr>
                <w:lang w:bidi="ar"/>
              </w:rPr>
            </w:pPr>
          </w:p>
        </w:tc>
      </w:tr>
      <w:tr w14:paraId="48D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14:paraId="143D8B92">
            <w:pPr>
              <w:widowControl/>
              <w:jc w:val="center"/>
              <w:rPr>
                <w:lang w:bidi="ar"/>
              </w:rPr>
            </w:pPr>
            <w:r>
              <w:rPr>
                <w:rFonts w:hint="eastAsia"/>
                <w:lang w:bidi="ar"/>
              </w:rPr>
              <w:t>5</w:t>
            </w:r>
          </w:p>
        </w:tc>
        <w:tc>
          <w:tcPr>
            <w:tcW w:w="1903" w:type="dxa"/>
            <w:shd w:val="clear" w:color="auto" w:fill="auto"/>
            <w:vAlign w:val="center"/>
          </w:tcPr>
          <w:p w14:paraId="53F809CF">
            <w:pPr>
              <w:widowControl/>
              <w:jc w:val="center"/>
              <w:rPr>
                <w:lang w:bidi="ar"/>
              </w:rPr>
            </w:pPr>
            <w:r>
              <w:rPr>
                <w:lang w:bidi="ar"/>
              </w:rPr>
              <w:t>裂隙灯</w:t>
            </w:r>
          </w:p>
        </w:tc>
        <w:tc>
          <w:tcPr>
            <w:tcW w:w="711" w:type="dxa"/>
            <w:shd w:val="clear" w:color="auto" w:fill="auto"/>
            <w:vAlign w:val="center"/>
          </w:tcPr>
          <w:p w14:paraId="591A13FE">
            <w:pPr>
              <w:widowControl/>
              <w:jc w:val="center"/>
            </w:pPr>
            <w:r>
              <w:rPr>
                <w:lang w:bidi="ar"/>
              </w:rPr>
              <w:t>台</w:t>
            </w:r>
          </w:p>
        </w:tc>
        <w:tc>
          <w:tcPr>
            <w:tcW w:w="705" w:type="dxa"/>
            <w:shd w:val="clear" w:color="auto" w:fill="auto"/>
            <w:vAlign w:val="center"/>
          </w:tcPr>
          <w:p w14:paraId="115F8AFE">
            <w:pPr>
              <w:widowControl/>
              <w:jc w:val="center"/>
            </w:pPr>
            <w:r>
              <w:rPr>
                <w:lang w:bidi="ar"/>
              </w:rPr>
              <w:t>1</w:t>
            </w:r>
          </w:p>
        </w:tc>
        <w:tc>
          <w:tcPr>
            <w:tcW w:w="3060" w:type="dxa"/>
            <w:shd w:val="clear" w:color="auto" w:fill="auto"/>
            <w:vAlign w:val="center"/>
          </w:tcPr>
          <w:p w14:paraId="7C9CE9DA">
            <w:pPr>
              <w:widowControl/>
              <w:jc w:val="center"/>
            </w:pPr>
          </w:p>
        </w:tc>
        <w:tc>
          <w:tcPr>
            <w:tcW w:w="1194" w:type="dxa"/>
            <w:shd w:val="clear" w:color="auto" w:fill="auto"/>
            <w:vAlign w:val="center"/>
          </w:tcPr>
          <w:p w14:paraId="681E7D80">
            <w:pPr>
              <w:widowControl/>
              <w:jc w:val="center"/>
              <w:rPr>
                <w:lang w:bidi="ar"/>
              </w:rPr>
            </w:pPr>
            <w:r>
              <w:rPr>
                <w:lang w:bidi="ar"/>
              </w:rPr>
              <w:t>检查眼表</w:t>
            </w:r>
          </w:p>
        </w:tc>
        <w:tc>
          <w:tcPr>
            <w:tcW w:w="1513" w:type="dxa"/>
            <w:shd w:val="clear" w:color="auto" w:fill="auto"/>
            <w:vAlign w:val="center"/>
          </w:tcPr>
          <w:p w14:paraId="7CB78DBA">
            <w:pPr>
              <w:widowControl/>
              <w:jc w:val="center"/>
              <w:rPr>
                <w:lang w:bidi="ar"/>
              </w:rPr>
            </w:pPr>
          </w:p>
        </w:tc>
      </w:tr>
      <w:tr w14:paraId="6AC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14:paraId="236EB60C">
            <w:pPr>
              <w:widowControl/>
              <w:jc w:val="center"/>
              <w:rPr>
                <w:lang w:bidi="ar"/>
              </w:rPr>
            </w:pPr>
            <w:r>
              <w:rPr>
                <w:rFonts w:hint="eastAsia"/>
                <w:lang w:bidi="ar"/>
              </w:rPr>
              <w:t>6</w:t>
            </w:r>
          </w:p>
        </w:tc>
        <w:tc>
          <w:tcPr>
            <w:tcW w:w="1903" w:type="dxa"/>
            <w:shd w:val="clear" w:color="auto" w:fill="auto"/>
            <w:vAlign w:val="center"/>
          </w:tcPr>
          <w:p w14:paraId="1B9FEABE">
            <w:pPr>
              <w:widowControl/>
              <w:jc w:val="center"/>
              <w:rPr>
                <w:lang w:bidi="ar"/>
              </w:rPr>
            </w:pPr>
            <w:r>
              <w:rPr>
                <w:lang w:bidi="ar"/>
              </w:rPr>
              <w:t>视力表投影仪</w:t>
            </w:r>
          </w:p>
        </w:tc>
        <w:tc>
          <w:tcPr>
            <w:tcW w:w="711" w:type="dxa"/>
            <w:shd w:val="clear" w:color="auto" w:fill="auto"/>
            <w:vAlign w:val="center"/>
          </w:tcPr>
          <w:p w14:paraId="525C561D">
            <w:pPr>
              <w:widowControl/>
              <w:jc w:val="center"/>
            </w:pPr>
            <w:r>
              <w:rPr>
                <w:lang w:bidi="ar"/>
              </w:rPr>
              <w:t>台</w:t>
            </w:r>
          </w:p>
        </w:tc>
        <w:tc>
          <w:tcPr>
            <w:tcW w:w="705" w:type="dxa"/>
            <w:shd w:val="clear" w:color="auto" w:fill="auto"/>
            <w:vAlign w:val="center"/>
          </w:tcPr>
          <w:p w14:paraId="027EF5B3">
            <w:pPr>
              <w:widowControl/>
              <w:jc w:val="center"/>
            </w:pPr>
            <w:r>
              <w:rPr>
                <w:lang w:bidi="ar"/>
              </w:rPr>
              <w:t>1</w:t>
            </w:r>
          </w:p>
        </w:tc>
        <w:tc>
          <w:tcPr>
            <w:tcW w:w="3060" w:type="dxa"/>
            <w:shd w:val="clear" w:color="auto" w:fill="auto"/>
            <w:vAlign w:val="center"/>
          </w:tcPr>
          <w:p w14:paraId="6414319B">
            <w:pPr>
              <w:widowControl/>
              <w:jc w:val="center"/>
            </w:pPr>
          </w:p>
        </w:tc>
        <w:tc>
          <w:tcPr>
            <w:tcW w:w="1194" w:type="dxa"/>
            <w:shd w:val="clear" w:color="auto" w:fill="auto"/>
            <w:vAlign w:val="center"/>
          </w:tcPr>
          <w:p w14:paraId="40CDA408">
            <w:pPr>
              <w:widowControl/>
              <w:jc w:val="center"/>
              <w:rPr>
                <w:lang w:bidi="ar"/>
              </w:rPr>
            </w:pPr>
            <w:r>
              <w:rPr>
                <w:lang w:bidi="ar"/>
              </w:rPr>
              <w:t>验光</w:t>
            </w:r>
          </w:p>
        </w:tc>
        <w:tc>
          <w:tcPr>
            <w:tcW w:w="1513" w:type="dxa"/>
            <w:shd w:val="clear" w:color="auto" w:fill="auto"/>
            <w:vAlign w:val="center"/>
          </w:tcPr>
          <w:p w14:paraId="0C6E38A0">
            <w:pPr>
              <w:widowControl/>
              <w:jc w:val="center"/>
              <w:rPr>
                <w:lang w:bidi="ar"/>
              </w:rPr>
            </w:pPr>
          </w:p>
        </w:tc>
      </w:tr>
      <w:tr w14:paraId="0E89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shd w:val="clear" w:color="auto" w:fill="auto"/>
            <w:vAlign w:val="center"/>
          </w:tcPr>
          <w:p w14:paraId="3BFD6C11">
            <w:pPr>
              <w:widowControl/>
              <w:jc w:val="center"/>
            </w:pPr>
            <w:r>
              <w:t>7</w:t>
            </w:r>
          </w:p>
        </w:tc>
        <w:tc>
          <w:tcPr>
            <w:tcW w:w="1903" w:type="dxa"/>
            <w:shd w:val="clear" w:color="auto" w:fill="auto"/>
            <w:vAlign w:val="center"/>
          </w:tcPr>
          <w:p w14:paraId="4EA388F7">
            <w:pPr>
              <w:widowControl/>
              <w:jc w:val="center"/>
            </w:pPr>
            <w:r>
              <w:rPr>
                <w:rFonts w:hint="eastAsia"/>
              </w:rPr>
              <w:t>镜片箱</w:t>
            </w:r>
          </w:p>
        </w:tc>
        <w:tc>
          <w:tcPr>
            <w:tcW w:w="711" w:type="dxa"/>
            <w:shd w:val="clear" w:color="auto" w:fill="auto"/>
            <w:vAlign w:val="center"/>
          </w:tcPr>
          <w:p w14:paraId="45B46C2A">
            <w:pPr>
              <w:widowControl/>
              <w:jc w:val="center"/>
            </w:pPr>
            <w:r>
              <w:rPr>
                <w:rFonts w:hint="eastAsia"/>
              </w:rPr>
              <w:t>台</w:t>
            </w:r>
          </w:p>
        </w:tc>
        <w:tc>
          <w:tcPr>
            <w:tcW w:w="705" w:type="dxa"/>
            <w:shd w:val="clear" w:color="auto" w:fill="auto"/>
            <w:vAlign w:val="center"/>
          </w:tcPr>
          <w:p w14:paraId="65A9B992">
            <w:pPr>
              <w:widowControl/>
              <w:jc w:val="center"/>
            </w:pPr>
            <w:r>
              <w:rPr>
                <w:rFonts w:hint="eastAsia"/>
              </w:rPr>
              <w:t>2</w:t>
            </w:r>
          </w:p>
        </w:tc>
        <w:tc>
          <w:tcPr>
            <w:tcW w:w="3060" w:type="dxa"/>
            <w:shd w:val="clear" w:color="auto" w:fill="auto"/>
            <w:vAlign w:val="center"/>
          </w:tcPr>
          <w:p w14:paraId="710788A8">
            <w:pPr>
              <w:widowControl/>
              <w:jc w:val="center"/>
            </w:pPr>
          </w:p>
        </w:tc>
        <w:tc>
          <w:tcPr>
            <w:tcW w:w="1194" w:type="dxa"/>
            <w:shd w:val="clear" w:color="auto" w:fill="auto"/>
            <w:vAlign w:val="center"/>
          </w:tcPr>
          <w:p w14:paraId="667FE012">
            <w:pPr>
              <w:widowControl/>
              <w:jc w:val="center"/>
            </w:pPr>
            <w:r>
              <w:rPr>
                <w:rFonts w:hint="eastAsia"/>
                <w:lang w:bidi="ar"/>
              </w:rPr>
              <w:t>验光</w:t>
            </w:r>
          </w:p>
        </w:tc>
        <w:tc>
          <w:tcPr>
            <w:tcW w:w="1513" w:type="dxa"/>
            <w:shd w:val="clear" w:color="auto" w:fill="auto"/>
            <w:vAlign w:val="center"/>
          </w:tcPr>
          <w:p w14:paraId="5AB229BA">
            <w:pPr>
              <w:widowControl/>
              <w:jc w:val="center"/>
            </w:pPr>
          </w:p>
        </w:tc>
      </w:tr>
      <w:tr w14:paraId="3448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9" w:type="dxa"/>
            <w:shd w:val="clear" w:color="auto" w:fill="auto"/>
            <w:vAlign w:val="center"/>
          </w:tcPr>
          <w:p w14:paraId="02C609AD">
            <w:pPr>
              <w:widowControl/>
              <w:jc w:val="center"/>
            </w:pPr>
            <w:r>
              <w:t>8</w:t>
            </w:r>
          </w:p>
        </w:tc>
        <w:tc>
          <w:tcPr>
            <w:tcW w:w="1903" w:type="dxa"/>
            <w:shd w:val="clear" w:color="auto" w:fill="auto"/>
            <w:vAlign w:val="center"/>
          </w:tcPr>
          <w:p w14:paraId="15E06F81">
            <w:pPr>
              <w:widowControl/>
              <w:jc w:val="center"/>
            </w:pPr>
            <w:r>
              <w:rPr>
                <w:lang w:bidi="ar"/>
              </w:rPr>
              <w:t>焦度仪</w:t>
            </w:r>
          </w:p>
        </w:tc>
        <w:tc>
          <w:tcPr>
            <w:tcW w:w="711" w:type="dxa"/>
            <w:shd w:val="clear" w:color="auto" w:fill="auto"/>
            <w:vAlign w:val="center"/>
          </w:tcPr>
          <w:p w14:paraId="355F5AD7">
            <w:pPr>
              <w:widowControl/>
              <w:jc w:val="center"/>
            </w:pPr>
            <w:r>
              <w:rPr>
                <w:rFonts w:hint="eastAsia"/>
              </w:rPr>
              <w:t>台</w:t>
            </w:r>
          </w:p>
        </w:tc>
        <w:tc>
          <w:tcPr>
            <w:tcW w:w="705" w:type="dxa"/>
            <w:shd w:val="clear" w:color="auto" w:fill="auto"/>
            <w:vAlign w:val="center"/>
          </w:tcPr>
          <w:p w14:paraId="4AF545FC">
            <w:pPr>
              <w:widowControl/>
              <w:jc w:val="center"/>
            </w:pPr>
            <w:r>
              <w:rPr>
                <w:rFonts w:hint="eastAsia"/>
                <w:lang w:bidi="ar"/>
              </w:rPr>
              <w:t>1</w:t>
            </w:r>
          </w:p>
        </w:tc>
        <w:tc>
          <w:tcPr>
            <w:tcW w:w="3060" w:type="dxa"/>
            <w:shd w:val="clear" w:color="auto" w:fill="auto"/>
            <w:vAlign w:val="center"/>
          </w:tcPr>
          <w:p w14:paraId="25BA639B">
            <w:pPr>
              <w:widowControl/>
              <w:jc w:val="center"/>
            </w:pPr>
          </w:p>
        </w:tc>
        <w:tc>
          <w:tcPr>
            <w:tcW w:w="1194" w:type="dxa"/>
            <w:shd w:val="clear" w:color="auto" w:fill="auto"/>
            <w:vAlign w:val="center"/>
          </w:tcPr>
          <w:p w14:paraId="036B4CB7">
            <w:pPr>
              <w:widowControl/>
              <w:jc w:val="center"/>
            </w:pPr>
            <w:r>
              <w:rPr>
                <w:rFonts w:hint="eastAsia"/>
                <w:lang w:bidi="ar"/>
              </w:rPr>
              <w:t>验光</w:t>
            </w:r>
          </w:p>
        </w:tc>
        <w:tc>
          <w:tcPr>
            <w:tcW w:w="1513" w:type="dxa"/>
            <w:shd w:val="clear" w:color="auto" w:fill="auto"/>
            <w:vAlign w:val="center"/>
          </w:tcPr>
          <w:p w14:paraId="73A0BBF1">
            <w:pPr>
              <w:widowControl/>
              <w:jc w:val="center"/>
            </w:pPr>
          </w:p>
        </w:tc>
      </w:tr>
      <w:tr w14:paraId="4BE8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9" w:type="dxa"/>
            <w:shd w:val="clear" w:color="auto" w:fill="auto"/>
            <w:vAlign w:val="center"/>
          </w:tcPr>
          <w:p w14:paraId="78EC6C90">
            <w:pPr>
              <w:widowControl/>
              <w:jc w:val="center"/>
              <w:rPr>
                <w:rFonts w:hint="eastAsia" w:eastAsia="宋体"/>
                <w:lang w:val="en-US" w:eastAsia="zh-CN"/>
              </w:rPr>
            </w:pPr>
            <w:r>
              <w:rPr>
                <w:rFonts w:hint="eastAsia"/>
                <w:lang w:val="en-US" w:eastAsia="zh-CN"/>
              </w:rPr>
              <w:t>9</w:t>
            </w:r>
          </w:p>
        </w:tc>
        <w:tc>
          <w:tcPr>
            <w:tcW w:w="1903" w:type="dxa"/>
            <w:shd w:val="clear" w:color="auto" w:fill="auto"/>
            <w:vAlign w:val="center"/>
          </w:tcPr>
          <w:p w14:paraId="6CE7A513">
            <w:pPr>
              <w:widowControl/>
              <w:jc w:val="center"/>
              <w:rPr>
                <w:rFonts w:hint="default" w:eastAsia="宋体"/>
                <w:lang w:val="en-US" w:eastAsia="zh-CN" w:bidi="ar"/>
              </w:rPr>
            </w:pPr>
            <w:r>
              <w:rPr>
                <w:rFonts w:hint="eastAsia"/>
                <w:lang w:val="en-US" w:eastAsia="zh-CN" w:bidi="ar"/>
              </w:rPr>
              <w:t>同视机</w:t>
            </w:r>
          </w:p>
        </w:tc>
        <w:tc>
          <w:tcPr>
            <w:tcW w:w="711" w:type="dxa"/>
            <w:shd w:val="clear" w:color="auto" w:fill="auto"/>
            <w:vAlign w:val="center"/>
          </w:tcPr>
          <w:p w14:paraId="6B2C3C1A">
            <w:pPr>
              <w:widowControl/>
              <w:jc w:val="center"/>
              <w:rPr>
                <w:rFonts w:hint="default" w:eastAsia="宋体"/>
                <w:lang w:val="en-US" w:eastAsia="zh-CN"/>
              </w:rPr>
            </w:pPr>
            <w:r>
              <w:rPr>
                <w:rFonts w:hint="eastAsia"/>
                <w:lang w:val="en-US" w:eastAsia="zh-CN"/>
              </w:rPr>
              <w:t>台</w:t>
            </w:r>
          </w:p>
        </w:tc>
        <w:tc>
          <w:tcPr>
            <w:tcW w:w="705" w:type="dxa"/>
            <w:shd w:val="clear" w:color="auto" w:fill="auto"/>
            <w:vAlign w:val="center"/>
          </w:tcPr>
          <w:p w14:paraId="5A4C0E49">
            <w:pPr>
              <w:widowControl/>
              <w:jc w:val="center"/>
              <w:rPr>
                <w:rFonts w:hint="eastAsia" w:eastAsia="宋体"/>
                <w:lang w:val="en-US" w:eastAsia="zh-CN" w:bidi="ar"/>
              </w:rPr>
            </w:pPr>
            <w:r>
              <w:rPr>
                <w:rFonts w:hint="eastAsia"/>
                <w:lang w:val="en-US" w:eastAsia="zh-CN" w:bidi="ar"/>
              </w:rPr>
              <w:t>1</w:t>
            </w:r>
          </w:p>
        </w:tc>
        <w:tc>
          <w:tcPr>
            <w:tcW w:w="3060" w:type="dxa"/>
            <w:shd w:val="clear" w:color="auto" w:fill="auto"/>
            <w:vAlign w:val="center"/>
          </w:tcPr>
          <w:p w14:paraId="79B667AB">
            <w:pPr>
              <w:widowControl/>
              <w:jc w:val="center"/>
              <w:rPr>
                <w:rFonts w:hint="eastAsia" w:eastAsia="宋体"/>
                <w:lang w:val="en-US" w:eastAsia="zh-CN"/>
              </w:rPr>
            </w:pPr>
            <w:r>
              <w:rPr>
                <w:rFonts w:hint="eastAsia"/>
                <w:lang w:val="en-US" w:eastAsia="zh-CN"/>
              </w:rPr>
              <w:t>斜视检查</w:t>
            </w:r>
          </w:p>
        </w:tc>
        <w:tc>
          <w:tcPr>
            <w:tcW w:w="1194" w:type="dxa"/>
            <w:shd w:val="clear" w:color="auto" w:fill="auto"/>
            <w:vAlign w:val="center"/>
          </w:tcPr>
          <w:p w14:paraId="33B2C02C">
            <w:pPr>
              <w:widowControl/>
              <w:jc w:val="center"/>
              <w:rPr>
                <w:rFonts w:hint="default" w:eastAsia="宋体"/>
                <w:lang w:val="en-US" w:eastAsia="zh-CN" w:bidi="ar"/>
              </w:rPr>
            </w:pPr>
            <w:r>
              <w:rPr>
                <w:rFonts w:hint="eastAsia"/>
                <w:lang w:val="en-US" w:eastAsia="zh-CN" w:bidi="ar"/>
              </w:rPr>
              <w:t>验光</w:t>
            </w:r>
          </w:p>
        </w:tc>
        <w:tc>
          <w:tcPr>
            <w:tcW w:w="1513" w:type="dxa"/>
            <w:shd w:val="clear" w:color="auto" w:fill="auto"/>
            <w:vAlign w:val="center"/>
          </w:tcPr>
          <w:p w14:paraId="268DB0C0">
            <w:pPr>
              <w:widowControl/>
              <w:jc w:val="center"/>
            </w:pPr>
          </w:p>
        </w:tc>
      </w:tr>
    </w:tbl>
    <w:p w14:paraId="720C3012">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p>
    <w:p w14:paraId="104DBB73">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（七）经营场地管理</w:t>
      </w:r>
    </w:p>
    <w:p w14:paraId="754D3C69">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1.采购人为</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提供开展本项目业务所需经营场地约</w:t>
      </w:r>
      <w:r>
        <w:rPr>
          <w:rFonts w:hint="eastAsia" w:ascii="仿宋_GB2312" w:hAnsi="仿宋_GB2312" w:eastAsia="仿宋_GB2312" w:cs="仿宋_GB2312"/>
          <w:kern w:val="0"/>
          <w:sz w:val="24"/>
          <w:lang w:val="en-US" w:eastAsia="zh-CN"/>
        </w:rPr>
        <w:t xml:space="preserve"> 29.23 </w:t>
      </w:r>
      <w:r>
        <w:rPr>
          <w:rFonts w:hint="eastAsia" w:ascii="仿宋_GB2312" w:hAnsi="仿宋_GB2312" w:eastAsia="仿宋_GB2312" w:cs="仿宋_GB2312"/>
          <w:kern w:val="0"/>
          <w:sz w:val="24"/>
        </w:rPr>
        <w:t>㎡（门诊</w:t>
      </w:r>
      <w:r>
        <w:rPr>
          <w:rFonts w:hint="eastAsia" w:ascii="仿宋_GB2312" w:hAnsi="仿宋_GB2312" w:eastAsia="仿宋_GB2312" w:cs="仿宋_GB2312"/>
          <w:kern w:val="0"/>
          <w:sz w:val="24"/>
          <w:lang w:eastAsia="zh-CN"/>
        </w:rPr>
        <w:t>综合</w:t>
      </w:r>
      <w:r>
        <w:rPr>
          <w:rFonts w:hint="eastAsia" w:ascii="仿宋_GB2312" w:hAnsi="仿宋_GB2312" w:eastAsia="仿宋_GB2312" w:cs="仿宋_GB2312"/>
          <w:kern w:val="0"/>
          <w:sz w:val="24"/>
        </w:rPr>
        <w:t>楼</w:t>
      </w:r>
      <w:r>
        <w:rPr>
          <w:rFonts w:hint="eastAsia" w:ascii="仿宋_GB2312" w:hAnsi="仿宋_GB2312" w:eastAsia="仿宋_GB2312" w:cs="仿宋_GB2312"/>
          <w:kern w:val="0"/>
          <w:sz w:val="24"/>
          <w:lang w:val="en-US" w:eastAsia="zh-CN"/>
        </w:rPr>
        <w:t xml:space="preserve"> 5 楼</w:t>
      </w:r>
      <w:r>
        <w:rPr>
          <w:rFonts w:hint="eastAsia" w:ascii="仿宋_GB2312" w:hAnsi="仿宋_GB2312" w:eastAsia="仿宋_GB2312" w:cs="仿宋_GB2312"/>
          <w:kern w:val="0"/>
          <w:sz w:val="24"/>
        </w:rPr>
        <w:t xml:space="preserve">）；提供所需的水、电、空调等相关基础配套设施。 </w:t>
      </w:r>
    </w:p>
    <w:p w14:paraId="7874EE6D">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应按市场监督管理部门核发的营业执照登记的经营范围使用本项目场地，不得改作它用。</w:t>
      </w:r>
    </w:p>
    <w:p w14:paraId="4E03400C">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3.场地交付后，经采购人同意</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可以按实际情况对经营场地进行整改装修，与医院整体装修风格相符，整改装修费用由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w:t>
      </w:r>
    </w:p>
    <w:p w14:paraId="1454DC97">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在装修前，应向采购人提交规范的装修施工图，经采购人书面同意后，</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方可施工。采购人应于收到装修施工图后的5个工作日内予以答复。</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在装修完成后的5个工作日内，向采购人提交装修的竣工图作为备案。</w:t>
      </w:r>
    </w:p>
    <w:p w14:paraId="5D9AE445">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在装修过程中不得破坏经营场地的主体结构，</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在装修时如需拆除原始的内墙或增加内墙，应符合有关建筑法规的规定和要求，并承担由此造成的一切责任。合同终止时，</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必须将经营场地保持现状，不得擅自拆除。</w:t>
      </w:r>
    </w:p>
    <w:p w14:paraId="6C09EBF5">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装修前应为</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聘请的装修人员自行购买人身意外伤害保险，并对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装修人员的人身、财产安全承担一切责任。</w:t>
      </w:r>
    </w:p>
    <w:p w14:paraId="43F69F0E">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7.采购人对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提交的装修施工图表示同意的，</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仍需履行因整改、内部装修、用途变更引致的相关连带事项（如消防、环保、卫生等）应及时向有关机构申报审核审批的义务，审核审批及验收结果须报采购人备案。因整改、装修导致</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无法正常使用经营场地的风险，由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自行承担。</w:t>
      </w:r>
    </w:p>
    <w:p w14:paraId="6EB76F01">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8.采购人提出进行维修应提前1日通知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应积极协助配合。</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向采购人提出维修请求后，采购人应及时提供维修服务，对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的装修装饰部分采购人不负有修缮的义务。</w:t>
      </w:r>
    </w:p>
    <w:p w14:paraId="7566EEA6">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9.</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不得擅自改建、扩建，否则采购人有权责令</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自行拆除并恢复原状。拒不拆除的，采购人有权通知政府有关部门予以拆除，由此产生的费用由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w:t>
      </w:r>
    </w:p>
    <w:p w14:paraId="07B57BCF">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10.经营场地配套设施的日常维护与修缮由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自费负责。</w:t>
      </w:r>
    </w:p>
    <w:p w14:paraId="1ACC70F6">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11.本合同终止时，由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购买的可移动物品（指办公用品、桌椅）归</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所有，</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可以自行取走。</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装修的经营场地内不可移动的附着物（包括但不限于天花板、门窗、地板、上下水管、卫生设施、消防设施、照明系统的电线及桥架）不得拆除，无偿归采购人所有。</w:t>
      </w:r>
    </w:p>
    <w:p w14:paraId="1FE34203">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需在取得消防部门核发的消防合格证，并经采购人审验后，方可进行经营。否则，相关风险由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自行承担。</w:t>
      </w:r>
    </w:p>
    <w:p w14:paraId="1A0ECBD2">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13.场地费用：</w:t>
      </w:r>
    </w:p>
    <w:p w14:paraId="6A58D410">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（1）采购人对中标人收取场地管理费，管理费用中包含水电费及其他管理费用。</w:t>
      </w:r>
    </w:p>
    <w:p w14:paraId="61A29F81">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（2）水电费：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应厉行节约，用水用电符合采购人消防等管理要求，场地的用电设备需提交采购人审核同意后使用。</w:t>
      </w:r>
    </w:p>
    <w:p w14:paraId="56EA3074">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（3）合同期间，</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使用本项目场地进行商业活动产生的其他各项费用（</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申请安装电话、宽带、有线电视或其他设备的费用等）均由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w:t>
      </w:r>
    </w:p>
    <w:p w14:paraId="203872DE">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（4）维修费：合同期间，由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承担经营场地范围内的施工和维修费用。</w:t>
      </w:r>
    </w:p>
    <w:p w14:paraId="22D564AB">
      <w:pPr>
        <w:spacing w:line="56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（八）采购人、</w:t>
      </w:r>
      <w:r>
        <w:rPr>
          <w:rFonts w:hint="eastAsia" w:ascii="仿宋_GB2312" w:hAnsi="仿宋_GB2312" w:eastAsia="仿宋_GB2312" w:cs="仿宋_GB2312"/>
          <w:b/>
          <w:bCs/>
          <w:kern w:val="0"/>
          <w:sz w:val="24"/>
          <w:lang w:eastAsia="zh-CN"/>
        </w:rPr>
        <w:t>中标人</w:t>
      </w:r>
      <w:r>
        <w:rPr>
          <w:rFonts w:hint="eastAsia" w:ascii="仿宋_GB2312" w:hAnsi="仿宋_GB2312" w:eastAsia="仿宋_GB2312" w:cs="仿宋_GB2312"/>
          <w:b/>
          <w:bCs/>
          <w:kern w:val="0"/>
          <w:sz w:val="24"/>
        </w:rPr>
        <w:t>双方权利义务</w:t>
      </w:r>
    </w:p>
    <w:p w14:paraId="51E7560A">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1.采购人权利及义务</w:t>
      </w:r>
    </w:p>
    <w:p w14:paraId="14A07E44">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（1）提供配套开展业务的场地及相关设施：如验光、配镜及加工场地和水电设施。</w:t>
      </w:r>
    </w:p>
    <w:p w14:paraId="70A8E886">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（2）协助</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开展视力普查及宣传及医学验光配镜业务。</w:t>
      </w:r>
    </w:p>
    <w:p w14:paraId="54C9C308">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（3）采购人对</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在院内的配镜经营活动进行指导、监督和检查，监督供应商所提供的材料及产品的质量、价格。</w:t>
      </w:r>
    </w:p>
    <w:p w14:paraId="13CA68E1">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（4）采购人有权监督</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人员在院内经营人员的销售管理行为；</w:t>
      </w:r>
    </w:p>
    <w:p w14:paraId="3693C336">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（5）采购人有权要求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人员遵守采购人院内相关管理制度；</w:t>
      </w:r>
    </w:p>
    <w:p w14:paraId="7EC861B8">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（6）采购人有权对</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经营产品的质量、销售服务，经营管理行为监督管理；</w:t>
      </w:r>
    </w:p>
    <w:p w14:paraId="367B6A4F">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权利及义务</w:t>
      </w:r>
    </w:p>
    <w:p w14:paraId="3CA035AA">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全面负责项目投资及运营费用，并办理相关手续，包括但不限于以下项目：配镜中心整体设计及装修施工，按政府相关规定必须办理的项目报建、消防审批、设施报装等手续及费用，前期宣传推广费用等项目实施一切必要费用；所投资建设配镜中心装修标准要达到或高于采购人要求的装修标准。</w:t>
      </w:r>
    </w:p>
    <w:p w14:paraId="43306395">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负责本项目所需的相关设备的采购、维护保养和保管义务。</w:t>
      </w:r>
    </w:p>
    <w:p w14:paraId="47802FD1">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负责提供配镜中心配套产品，如医学光学镜架、镜架、近视、弱视、远视系列产品及定配设施，并确保所提供产品生产、销售、使用等全套资质的合法性。</w:t>
      </w:r>
    </w:p>
    <w:p w14:paraId="6121CFC6">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（4）按照国家相关政策及卫生主管部门制定的统一标准收费。</w:t>
      </w:r>
    </w:p>
    <w:p w14:paraId="7B7697C7">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不得将配镜中心经营场地以任何形式转租其他第三方，非经采购人同意不得以任何形式与第三方联营、合作经营、承包经营或委托经营等。不得在经营场地经营本项目采购文件及合同规定的和营业执照经营范围以外的其它项目。</w:t>
      </w:r>
    </w:p>
    <w:p w14:paraId="5A672615">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所经营的业务应经采购人备案认可后方可开展。</w:t>
      </w:r>
    </w:p>
    <w:p w14:paraId="6CE52F9D">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积极配合采购人处理投诉、建议、整改等，若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原因产生的投诉应由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负责处理，如影响较大的，采购人有权单方面书面通知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解除合同，由此产生的损失由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负责。因</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原因产生的投诉对采购人造成损失的，采购人有权向</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追溯并追究其法律责任。</w:t>
      </w:r>
    </w:p>
    <w:p w14:paraId="06FC2000">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（8）</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必须向采购人开放收费系统，接受采购人对其营业情况，产品和服务销售价格监管和经营相关数据提取。</w:t>
      </w:r>
    </w:p>
    <w:p w14:paraId="72E110A9">
      <w:pPr>
        <w:pStyle w:val="2"/>
        <w:numPr>
          <w:ilvl w:val="255"/>
          <w:numId w:val="0"/>
        </w:numPr>
        <w:spacing w:line="56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（九）商务要求</w:t>
      </w:r>
    </w:p>
    <w:p w14:paraId="7D8B1DC5">
      <w:pPr>
        <w:pStyle w:val="7"/>
        <w:framePr w:wrap="auto" w:vAnchor="margin" w:hAnchor="text" w:yAlign="inline"/>
        <w:widowControl/>
        <w:numPr>
          <w:ilvl w:val="255"/>
          <w:numId w:val="0"/>
        </w:numPr>
        <w:tabs>
          <w:tab w:val="left" w:pos="1260"/>
          <w:tab w:val="left" w:pos="1365"/>
        </w:tabs>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1.报价要求：</w:t>
      </w:r>
    </w:p>
    <w:p w14:paraId="78991FA5">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（1）成交价格在合同执行期间不变。</w:t>
      </w:r>
    </w:p>
    <w:p w14:paraId="3A2FEA59">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（2）成交价格包括但不限于各种人工费用、管理费用、不可预见费、税费、利润等以及供应商完成本项目所必要的其他货物、材料、服务等一切费用。 </w:t>
      </w:r>
    </w:p>
    <w:p w14:paraId="6FCF6768">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2.经营期限：合同生效之日起</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个月。</w:t>
      </w:r>
    </w:p>
    <w:p w14:paraId="32B982CB">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3.服务地点：</w:t>
      </w:r>
      <w:r>
        <w:rPr>
          <w:rFonts w:hint="eastAsia" w:ascii="仿宋_GB2312" w:hAnsi="仿宋_GB2312" w:eastAsia="仿宋_GB2312" w:cs="仿宋_GB2312"/>
          <w:sz w:val="24"/>
          <w:szCs w:val="24"/>
          <w:lang w:eastAsia="zh-CN"/>
        </w:rPr>
        <w:t>珠海市第五人民医院指定地点</w:t>
      </w:r>
      <w:r>
        <w:rPr>
          <w:rFonts w:hint="eastAsia" w:ascii="仿宋_GB2312" w:hAnsi="仿宋_GB2312" w:eastAsia="仿宋_GB2312" w:cs="仿宋_GB2312"/>
          <w:sz w:val="24"/>
          <w:szCs w:val="24"/>
        </w:rPr>
        <w:t>。</w:t>
      </w:r>
    </w:p>
    <w:p w14:paraId="22E424B7">
      <w:pPr>
        <w:pStyle w:val="7"/>
        <w:framePr w:wrap="auto" w:vAnchor="margin" w:hAnchor="text" w:yAlign="inline"/>
        <w:widowControl/>
        <w:numPr>
          <w:ilvl w:val="255"/>
          <w:numId w:val="0"/>
        </w:numPr>
        <w:tabs>
          <w:tab w:val="left" w:pos="1260"/>
          <w:tab w:val="left" w:pos="1365"/>
        </w:tabs>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4.支付方式：按季度支付管理费，</w:t>
      </w:r>
      <w:r>
        <w:rPr>
          <w:rFonts w:hint="eastAsia" w:ascii="仿宋_GB2312" w:hAnsi="仿宋_GB2312" w:eastAsia="仿宋_GB2312" w:cs="仿宋_GB2312"/>
          <w:color w:val="auto"/>
          <w:sz w:val="24"/>
          <w:szCs w:val="24"/>
          <w:lang w:eastAsia="zh-CN"/>
        </w:rPr>
        <w:t>中标人</w:t>
      </w:r>
      <w:r>
        <w:rPr>
          <w:rFonts w:hint="eastAsia" w:ascii="仿宋_GB2312" w:hAnsi="仿宋_GB2312" w:eastAsia="仿宋_GB2312" w:cs="仿宋_GB2312"/>
          <w:color w:val="auto"/>
          <w:sz w:val="24"/>
          <w:szCs w:val="24"/>
        </w:rPr>
        <w:t xml:space="preserve">在每季度的首月十号前按采购人支付要求缴纳场地管理费用。 </w:t>
      </w:r>
    </w:p>
    <w:p w14:paraId="306D21BE">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91887"/>
    <w:rsid w:val="03547F3F"/>
    <w:rsid w:val="18EB0244"/>
    <w:rsid w:val="1D9C20B2"/>
    <w:rsid w:val="23182A39"/>
    <w:rsid w:val="26754750"/>
    <w:rsid w:val="2B191887"/>
    <w:rsid w:val="39822409"/>
    <w:rsid w:val="470879D9"/>
    <w:rsid w:val="4A8F317D"/>
    <w:rsid w:val="4D897F70"/>
    <w:rsid w:val="503962D8"/>
    <w:rsid w:val="578A52CA"/>
    <w:rsid w:val="59374B66"/>
    <w:rsid w:val="5D0B0121"/>
    <w:rsid w:val="660B1854"/>
    <w:rsid w:val="670D6F06"/>
    <w:rsid w:val="6A0330F6"/>
    <w:rsid w:val="74715218"/>
    <w:rsid w:val="76746FA2"/>
    <w:rsid w:val="7842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cs="Courier New"/>
      <w:szCs w:val="21"/>
    </w:rPr>
  </w:style>
  <w:style w:type="paragraph" w:customStyle="1" w:styleId="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4784</Words>
  <Characters>4854</Characters>
  <Lines>0</Lines>
  <Paragraphs>0</Paragraphs>
  <TotalTime>0</TotalTime>
  <ScaleCrop>false</ScaleCrop>
  <LinksUpToDate>false</LinksUpToDate>
  <CharactersWithSpaces>4868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2025-01-02T02:46:00Z</dcterms:created>
  <dc:creator>珠海市五院陈英钊</dc:creator>
  <cp:lastModifiedBy>珠海市五院陈英钊</cp:lastModifiedBy>
  <cp:lastPrinted>2025-01-03T02:22:00Z</cp:lastPrinted>
  <dcterms:modified xsi:type="dcterms:W3CDTF">2025-01-16T08:38:55Z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EA69FC4E37C94793ADD7D94FA583BC3A_13</vt:lpwstr>
  </property>
  <property fmtid="{D5CDD505-2E9C-101B-9397-08002B2CF9AE}" pid="4" name="KSOTemplateDocerSaveRecord">
    <vt:lpwstr>eyJoZGlkIjoiYjM1NGM1MzhmYjhiMTc1ZjRiZDc0M2U2OTRkMDEwYzAiLCJ1c2VySWQiOiI3NDgzMzYxNDkifQ==</vt:lpwstr>
  </property>
</Properties>
</file>